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2"/>
          <w:szCs w:val="32"/>
        </w:rPr>
        <w:t xml:space="preserve">Temporal Validation Impact:</w:t>
      </w:r>
    </w:p>
    <w:p>
      <w:pPr>
        <w:spacing w:after="240"/>
        <w:jc w:val="center"/>
      </w:pPr>
      <w:r>
        <w:rPr>
          <w:b/>
          <w:bCs/>
          <w:sz w:val="32"/>
          <w:szCs w:val="32"/>
        </w:rPr>
        <w:t xml:space="preserve">A Quantitative Framework for Measuring Cultural Persistence</w:t>
      </w:r>
    </w:p>
    <w:p>
      <w:pPr>
        <w:spacing w:after="120"/>
        <w:jc w:val="center"/>
      </w:pPr>
      <w:r>
        <w:rPr>
          <w:sz w:val="24"/>
          <w:szCs w:val="24"/>
        </w:rPr>
        <w:t xml:space="preserve">Carl van der Linden</w:t>
      </w:r>
    </w:p>
    <w:p>
      <w:pPr>
        <w:spacing w:after="480"/>
        <w:jc w:val="center"/>
      </w:pPr>
      <w:r>
        <w:rPr>
          <w:i/>
          <w:iCs/>
          <w:sz w:val="22"/>
          <w:szCs w:val="22"/>
        </w:rPr>
        <w:t xml:space="preserve">Working Paper v1.1 | January 2025</w:t>
      </w:r>
    </w:p>
    <w:p>
      <w:pPr>
        <w:pStyle w:val="Heading1"/>
      </w:pPr>
      <w:r>
        <w:t xml:space="preserve">Abstract</w:t>
      </w:r>
    </w:p>
    <w:p>
      <w:pPr>
        <w:spacing w:after="240" w:line="360"/>
      </w:pPr>
      <w:r>
        <w:t xml:space="preserve">We present the Temporal Validation Impact (TVI) framework, a quantitative methodology for measuring the durability and cultural persistence of ideas, artifacts, organizations, and methodologies. The core formula, </w:t>
      </w:r>
      <w:r>
        <w:rPr>
          <w:i/>
          <w:iCs/>
        </w:rPr>
        <w:t xml:space="preserve">Impact = Saturation × log₁₀(Validation + 1) × Resistance</w:t>
      </w:r>
      <w:r>
        <w:t xml:space="preserve">, integrates three measurable components: normalized reach (Saturation), time-validated persistence (Validation), and era-adjusted structural resistance (Resistance). We validate this framework against known historical outcomes across four domains: viral content, business methodologies, AI training datasets, and corporate survival. Results demonstrate that the formula correctly ranks entities by their actual persistence with 100% directional accuracy and remains robust to ±20% parameter variation. We introduce the Observer Temporal Signature (τ) model to explain systematic disagreement in importance judgments as a function of decision-horizon profiles rather than intelligence or preference. The framework has applications in investment analysis, content strategy, AI training data curation, and institutional decision-making. We propose testable predictions including a temporal uncertainty principle, fractal scaling laws in cultural attention, and chaotic dynamics in memetic propagation.</w:t>
      </w:r>
    </w:p>
    <w:p>
      <w:pPr>
        <w:spacing w:after="240"/>
      </w:pPr>
      <w:r>
        <w:rPr>
          <w:b/>
          <w:bCs/>
        </w:rPr>
        <w:t xml:space="preserve">Keywords: </w:t>
      </w:r>
      <w:r>
        <w:t xml:space="preserve">temporal validation, cultural persistence, decision horizons, memetic durability, quantitative culture, fractal dynamics</w:t>
      </w:r>
    </w:p>
    <w:p>
      <w:r>
        <w:br w:type="page"/>
      </w:r>
    </w:p>
    <w:p>
      <w:pPr>
        <w:pStyle w:val="Heading1"/>
      </w:pPr>
      <w:r>
        <w:t xml:space="preserve">1. Introduction</w:t>
      </w:r>
    </w:p>
    <w:p>
      <w:pPr>
        <w:spacing w:after="240" w:line="360"/>
      </w:pPr>
      <w:r>
        <w:t xml:space="preserve">A fundamental asymmetry exists in how we evaluate ideas, content, organizations, and methodologies. Current metrics heavily weight recency and immediate engagement while systematically discounting temporal durability. A viral video with 50 million views in 2024 may receive more attention than a foundational work with 700 million cumulative impressions over 20 years, despite the latter demonstrating vastly greater cultural staying power.</w:t>
      </w:r>
    </w:p>
    <w:p>
      <w:pPr>
        <w:spacing w:after="240" w:line="360"/>
      </w:pPr>
      <w:r>
        <w:t xml:space="preserve">This paper introduces the Temporal Validation Impact (TVI) framework, which provides a systematic methodology for quantifying cultural persistence across domains. The framework addresses a gap in existing literature: while metrics for immediate impact are well-developed (views, citations, market capitalization), comparable metrics for durability remain ad hoc and domain-specific.</w:t>
      </w:r>
    </w:p>
    <w:p>
      <w:pPr>
        <w:spacing w:after="240" w:line="360"/>
      </w:pPr>
      <w:r>
        <w:t xml:space="preserve">The core insight is that time itself serves as a validation mechanism. Ideas, artifacts, and organizations that persist through changing contexts, survive competitive pressure, and continue to resurface demonstrate a form of validation that immediate metrics cannot capture. By measuring this temporal validation systematically, we can distinguish between ephemeral phenomena (high immediate impact, rapid decay) and foundational contributions (moderate immediate impact, sustained relevance).</w:t>
      </w:r>
    </w:p>
    <w:p>
      <w:pPr>
        <w:spacing w:after="240" w:line="360"/>
      </w:pPr>
      <w:r>
        <w:t xml:space="preserve">We further introduce the Observer Temporal Signature model, which explains why different observers rationally disagree about importance when evaluating identical evidence. This disagreement is not due to different values or intelligence but to different temporal horizons that act as perceptual filters on which aspects of reality are visible.</w:t>
      </w:r>
    </w:p>
    <w:p>
      <w:pPr>
        <w:pStyle w:val="Heading1"/>
      </w:pPr>
      <w:r>
        <w:t xml:space="preserve">2. Theoretical Framework</w:t>
      </w:r>
    </w:p>
    <w:p>
      <w:pPr>
        <w:pStyle w:val="Heading2"/>
      </w:pPr>
      <w:r>
        <w:t xml:space="preserve">2.1 The Core Formula</w:t>
      </w:r>
    </w:p>
    <w:p>
      <w:pPr>
        <w:spacing w:after="240" w:line="360"/>
      </w:pPr>
      <w:r>
        <w:t xml:space="preserve">The Temporal Validation Impact is calculated as:</w:t>
      </w:r>
    </w:p>
    <w:p>
      <w:pPr>
        <w:spacing w:before="240" w:after="240"/>
        <w:jc w:val="center"/>
      </w:pPr>
      <w:r>
        <w:rPr>
          <w:b/>
          <w:bCs/>
          <w:sz w:val="28"/>
          <w:szCs w:val="28"/>
        </w:rPr>
        <w:t xml:space="preserve">TVI = S × log₁₀(V + 1) × R</w:t>
      </w:r>
    </w:p>
    <w:p>
      <w:pPr>
        <w:spacing w:after="120" w:line="360"/>
      </w:pPr>
      <w:r>
        <w:t xml:space="preserve">Where:</w:t>
      </w:r>
    </w:p>
    <w:p>
      <w:pPr>
        <w:spacing w:after="120" w:line="360"/>
      </w:pPr>
      <w:r>
        <w:rPr>
          <w:b/>
          <w:bCs/>
        </w:rPr>
        <w:t xml:space="preserve">S (Saturation)</w:t>
      </w:r>
      <w:r>
        <w:t xml:space="preserve"> = Context-normalized reach, calculated as (Raw Reach / Account Factor) / Available Audience × Cross-Platform Multiplier. This normalizes for era-specific audience sizes and platform availability.</w:t>
      </w:r>
    </w:p>
    <w:p>
      <w:pPr>
        <w:spacing w:after="120" w:line="360"/>
      </w:pPr>
      <w:r>
        <w:rPr>
          <w:b/>
          <w:bCs/>
        </w:rPr>
        <w:t xml:space="preserve">V (Validation)</w:t>
      </w:r>
      <w:r>
        <w:t xml:space="preserve"> = Time-validated persistence score, calculated as Persistence × Resurfacing Rate × Legacy Level. Persistence measures months of above-baseline activity; Resurfacing Rate captures frequency of renewed attention; Legacy Level indicates institutional or cultural entrenchment.</w:t>
      </w:r>
    </w:p>
    <w:p>
      <w:pPr>
        <w:spacing w:after="240" w:line="360"/>
      </w:pPr>
      <w:r>
        <w:rPr>
          <w:b/>
          <w:bCs/>
        </w:rPr>
        <w:t xml:space="preserve">R (Resistance)</w:t>
      </w:r>
      <w:r>
        <w:t xml:space="preserve"> = Structural Resistance Coefficient by era. Achieving persistence in earlier eras (smaller audiences, less infrastructure) indicates stronger fundamental value. Pre-2005: R=3.0; 2005-2009: R=2.5; 2010-2013: R=2.0; 2014-2017: R=1.5; 2018+: R=1.0.</w:t>
      </w:r>
    </w:p>
    <w:p>
      <w:pPr>
        <w:pStyle w:val="Heading2"/>
      </w:pPr>
      <w:r>
        <w:t xml:space="preserve">2.2 Mathematical Properties</w:t>
      </w:r>
    </w:p>
    <w:p>
      <w:pPr>
        <w:spacing w:after="240" w:line="360"/>
      </w:pPr>
      <w:r>
        <w:t xml:space="preserve">The logarithmic scaling of the Validation component serves two purposes. First, it reflects diminishing returns: the difference between 1 month and 12 months of persistence is more meaningful than between 120 and 131 months. Second, the +1 term ensures defined behavior at V=0 (zero validation yields log₁₀(1) = 0, producing TVI = 0 for purely potential entities).</w:t>
      </w:r>
    </w:p>
    <w:p>
      <w:pPr>
        <w:spacing w:after="240" w:line="360"/>
      </w:pPr>
      <w:r>
        <w:t xml:space="preserve">The multiplicative structure means that deficiency in any component substantially reduces overall score. High reach with zero persistence produces zero TVI. High persistence with zero reach produces zero TVI. This captures the intuition that cultural impact requires both scale and durability.</w:t>
      </w:r>
    </w:p>
    <w:p>
      <w:pPr>
        <w:pStyle w:val="Heading2"/>
      </w:pPr>
      <w:r>
        <w:t xml:space="preserve">2.3 Domain-Specific Variants</w:t>
      </w:r>
    </w:p>
    <w:p>
      <w:pPr>
        <w:spacing w:after="240" w:line="360"/>
      </w:pPr>
      <w:r>
        <w:t xml:space="preserve">The core formula adapts to specific domains while preserving the fundamental structure:</w:t>
      </w:r>
    </w:p>
    <w:p>
      <w:pPr>
        <w:spacing w:after="120" w:line="360"/>
      </w:pPr>
      <w:r>
        <w:rPr>
          <w:b/>
          <w:bCs/>
        </w:rPr>
        <w:t xml:space="preserve">TVI-B (Business Methodologies): </w:t>
      </w:r>
      <w:r>
        <w:t xml:space="preserve">Saturation incorporates adoption rate and years in use; Validation includes cross-industry spread.</w:t>
      </w:r>
    </w:p>
    <w:p>
      <w:pPr>
        <w:spacing w:after="120" w:line="360"/>
      </w:pPr>
      <w:r>
        <w:rPr>
          <w:b/>
          <w:bCs/>
        </w:rPr>
        <w:t xml:space="preserve">TDIS (Training Data Impact Score): </w:t>
      </w:r>
      <w:r>
        <w:t xml:space="preserve">Saturation weights citations and active usage in curricula; Validation includes cross-framework adoption.</w:t>
      </w:r>
    </w:p>
    <w:p>
      <w:pPr>
        <w:spacing w:after="240" w:line="360"/>
      </w:pPr>
      <w:r>
        <w:rPr>
          <w:b/>
          <w:bCs/>
        </w:rPr>
        <w:t xml:space="preserve">ISPS (Investment Staying Power Score): </w:t>
      </w:r>
      <w:r>
        <w:t xml:space="preserve">Saturation incorporates brand awareness and market position; Validation emphasizes crisis survival and leadership continuity.</w:t>
      </w:r>
    </w:p>
    <w:p>
      <w:pPr>
        <w:pStyle w:val="Heading2"/>
      </w:pPr>
      <w:r>
        <w:t xml:space="preserve">2.4 Observer Temporal Signature Model</w:t>
      </w:r>
    </w:p>
    <w:p>
      <w:pPr>
        <w:spacing w:after="240" w:line="360"/>
      </w:pPr>
      <w:r>
        <w:t xml:space="preserve">Different observers evaluating identical evidence systematically disagree about importance. We model this through the Observer Temporal Signature τ:</w:t>
      </w:r>
    </w:p>
    <w:p>
      <w:pPr>
        <w:spacing w:before="240" w:after="240"/>
        <w:jc w:val="center"/>
      </w:pPr>
      <w:r>
        <w:rPr>
          <w:b/>
          <w:bCs/>
          <w:sz w:val="26"/>
          <w:szCs w:val="26"/>
        </w:rPr>
        <w:t xml:space="preserve">τₒ = (Hₒ, Lₒ, Cₒ, Vₒ)</w:t>
      </w:r>
    </w:p>
    <w:p>
      <w:pPr>
        <w:spacing w:after="120" w:line="360"/>
      </w:pPr>
      <w:r>
        <w:t xml:space="preserve">Where:</w:t>
      </w:r>
    </w:p>
    <w:p>
      <w:pPr>
        <w:spacing w:after="120" w:line="360"/>
      </w:pPr>
      <w:r>
        <w:rPr>
          <w:b/>
          <w:bCs/>
        </w:rPr>
        <w:t xml:space="preserve">H (Skill Half-Life): </w:t>
      </w:r>
      <w:r>
        <w:t xml:space="preserve">Years until the observer's relevant skills depreciate by 50%.</w:t>
      </w:r>
    </w:p>
    <w:p>
      <w:pPr>
        <w:spacing w:after="120" w:line="360"/>
      </w:pPr>
      <w:r>
        <w:rPr>
          <w:b/>
          <w:bCs/>
        </w:rPr>
        <w:t xml:space="preserve">L (Legacy Depth): </w:t>
      </w:r>
      <w:r>
        <w:t xml:space="preserve">Stake horizon level (1=self, 2=family, 3=community, 4=civilization).</w:t>
      </w:r>
    </w:p>
    <w:p>
      <w:pPr>
        <w:spacing w:after="120" w:line="360"/>
      </w:pPr>
      <w:r>
        <w:rPr>
          <w:b/>
          <w:bCs/>
        </w:rPr>
        <w:t xml:space="preserve">C (Crisis Anchor): </w:t>
      </w:r>
      <w:r>
        <w:t xml:space="preserve">Set of crises that calibrated the observer's risk model.</w:t>
      </w:r>
    </w:p>
    <w:p>
      <w:pPr>
        <w:spacing w:after="240" w:line="360"/>
      </w:pPr>
      <w:r>
        <w:rPr>
          <w:b/>
          <w:bCs/>
        </w:rPr>
        <w:t xml:space="preserve">V (Validation Horizon): </w:t>
      </w:r>
      <w:r>
        <w:t xml:space="preserve">Default timeframe used to judge success (months to decades).</w:t>
      </w:r>
    </w:p>
    <w:p>
      <w:pPr>
        <w:spacing w:after="240" w:line="360"/>
      </w:pPr>
      <w:r>
        <w:t xml:space="preserve">The observer's temporal signature determines weights across three time dimensions:</w:t>
      </w:r>
    </w:p>
    <w:p>
      <w:pPr>
        <w:spacing w:after="120" w:line="360"/>
      </w:pPr>
      <w:r>
        <w:rPr>
          <w:i/>
          <w:iCs/>
        </w:rPr>
        <w:t xml:space="preserve">Physical time (tₚ): </w:t>
      </w:r>
      <w:r>
        <w:t xml:space="preserve">Clock time, constraints, feasibility.</w:t>
      </w:r>
    </w:p>
    <w:p>
      <w:pPr>
        <w:spacing w:after="120" w:line="360"/>
      </w:pPr>
      <w:r>
        <w:rPr>
          <w:i/>
          <w:iCs/>
        </w:rPr>
        <w:t xml:space="preserve">Psychological time (tᵩ): </w:t>
      </w:r>
      <w:r>
        <w:t xml:space="preserve">Attention-weighted subjective time, engagement, salience.</w:t>
      </w:r>
    </w:p>
    <w:p>
      <w:pPr>
        <w:spacing w:after="240" w:line="360"/>
      </w:pPr>
      <w:r>
        <w:rPr>
          <w:i/>
          <w:iCs/>
        </w:rPr>
        <w:t xml:space="preserve">Cultural time (t꜀): </w:t>
      </w:r>
      <w:r>
        <w:t xml:space="preserve">Validation time, persistence, legacy.</w:t>
      </w:r>
    </w:p>
    <w:p>
      <w:pPr>
        <w:spacing w:after="240" w:line="360"/>
      </w:pPr>
      <w:r>
        <w:t xml:space="preserve">An observer with V=3 months weights psychological time heavily (what's engaging now). An observer with V=25 years weights cultural time heavily (what will persist). This is not a preference difference but a perceptual filter: observers with short validation horizons literally cannot see the value in entities whose peak validation lies outside their horizon.</w:t>
      </w:r>
    </w:p>
    <w:p>
      <w:r>
        <w:br w:type="page"/>
      </w:r>
    </w:p>
    <w:p>
      <w:pPr>
        <w:pStyle w:val="Heading1"/>
      </w:pPr>
      <w:r>
        <w:t xml:space="preserve">3. Methods</w:t>
      </w:r>
    </w:p>
    <w:p>
      <w:pPr>
        <w:pStyle w:val="Heading2"/>
      </w:pPr>
      <w:r>
        <w:t xml:space="preserve">3.1 Validation Approach</w:t>
      </w:r>
    </w:p>
    <w:p>
      <w:pPr>
        <w:spacing w:after="240" w:line="360"/>
      </w:pPr>
      <w:r>
        <w:t xml:space="preserve">We validate the TVI framework using known historical outcomes. Rather than predicting future persistence (which would require waiting years to verify), we test whether the formula correctly ranks entities whose relative durability we already know.</w:t>
      </w:r>
    </w:p>
    <w:p>
      <w:pPr>
        <w:spacing w:after="240" w:line="360"/>
      </w:pPr>
      <w:r>
        <w:t xml:space="preserve">This approach has a key advantage: it separates formula validation from parameter estimation. If the formula's structure correctly captures temporal dynamics, it should produce correct rankings even with reasonable parameter estimates. Sensitivity analysis then tests whether rankings remain stable under parameter perturbation.</w:t>
      </w:r>
    </w:p>
    <w:p>
      <w:pPr>
        <w:pStyle w:val="Heading2"/>
      </w:pPr>
      <w:r>
        <w:t xml:space="preserve">3.2 Test Domains</w:t>
      </w:r>
    </w:p>
    <w:p>
      <w:pPr>
        <w:spacing w:after="120" w:line="360"/>
      </w:pPr>
      <w:r>
        <w:t xml:space="preserve">We test across four domains with clearly differentiated outcomes:</w:t>
      </w:r>
    </w:p>
    <w:p>
      <w:pPr>
        <w:spacing w:after="120" w:line="360"/>
      </w:pPr>
      <w:r>
        <w:rPr>
          <w:b/>
          <w:bCs/>
        </w:rPr>
        <w:t xml:space="preserve">Viral Content: </w:t>
      </w:r>
      <w:r>
        <w:t xml:space="preserve">Charlie Bit My Finger (2007), Gangnam Style (2012), Ice Bucket Challenge (2014), Damn Daniel (2016), contemporary TikTok trends.</w:t>
      </w:r>
    </w:p>
    <w:p>
      <w:pPr>
        <w:spacing w:after="120" w:line="360"/>
      </w:pPr>
      <w:r>
        <w:rPr>
          <w:b/>
          <w:bCs/>
        </w:rPr>
        <w:t xml:space="preserve">Business Methodologies: </w:t>
      </w:r>
      <w:r>
        <w:t xml:space="preserve">SMART Goals (1981), Agile/Scrum (2001), Six Sigma (1986), OKRs (1999/2013), Holacracy (2015).</w:t>
      </w:r>
    </w:p>
    <w:p>
      <w:pPr>
        <w:spacing w:after="120" w:line="360"/>
      </w:pPr>
      <w:r>
        <w:rPr>
          <w:b/>
          <w:bCs/>
        </w:rPr>
        <w:t xml:space="preserve">AI Training Datasets: </w:t>
      </w:r>
      <w:r>
        <w:t xml:space="preserve">MNIST (1998), ImageNet (2009), CIFAR-10 (2009), LAION-5B (2022), Common Crawl subsets (2023).</w:t>
      </w:r>
    </w:p>
    <w:p>
      <w:pPr>
        <w:spacing w:after="240" w:line="360"/>
      </w:pPr>
      <w:r>
        <w:rPr>
          <w:b/>
          <w:bCs/>
        </w:rPr>
        <w:t xml:space="preserve">Corporate Survival: </w:t>
      </w:r>
      <w:r>
        <w:t xml:space="preserve">Apple, Microsoft, Amazon, Peloton, WeWork, Lehman Brothers.</w:t>
      </w:r>
    </w:p>
    <w:p>
      <w:pPr>
        <w:pStyle w:val="Heading2"/>
      </w:pPr>
      <w:r>
        <w:t xml:space="preserve">3.3 Sensitivity Analysis</w:t>
      </w:r>
    </w:p>
    <w:p>
      <w:pPr>
        <w:spacing w:after="240" w:line="360"/>
      </w:pPr>
      <w:r>
        <w:t xml:space="preserve">To test robustness, we vary all input parameters by ±20% (125 combinations per pair) and measure how often the relative ranking is preserved. A robust formula should maintain correct rankings despite parameter uncertainty.</w:t>
      </w:r>
    </w:p>
    <w:p>
      <w:r>
        <w:br w:type="page"/>
      </w:r>
    </w:p>
    <w:p>
      <w:pPr>
        <w:pStyle w:val="Heading1"/>
      </w:pPr>
      <w:r>
        <w:t xml:space="preserve">4. Results</w:t>
      </w:r>
    </w:p>
    <w:p>
      <w:pPr>
        <w:pStyle w:val="Heading2"/>
      </w:pPr>
      <w:r>
        <w:t xml:space="preserve">4.1 Viral Content Rankings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4000"/>
      </w:tblGrid>
      <w:tr>
        <w:tc>
          <w:tcPr>
            <w:tcW w:type="dxa" w:w="3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Content</w:t>
            </w:r>
          </w:p>
        </w:tc>
        <w:tc>
          <w:tcPr>
            <w:tcW w:type="dxa" w:w="1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TVI</w:t>
            </w:r>
          </w:p>
        </w:tc>
        <w:tc>
          <w:tcPr>
            <w:tcW w:type="dxa" w:w="4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Known Outcome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Charlie Bit My Finger (2007)</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67.52</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Foundation - referenced 17+ years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Gangnam Style (2012)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41.76</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Foundation - first to 1B views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Ice Bucket Challenge (2014)</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5.03</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Faded - rarely mentioned now</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Damn Daniel (2016)</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0.01</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Ephemeral - forgotten</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Random TikTok 2023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Ephemeral - gone in days</w:t>
            </w:r>
          </w:p>
        </w:tc>
      </w:tr>
    </w:tbl>
    <w:p>
      <w:pPr>
        <w:spacing w:before="240" w:after="240" w:line="360"/>
      </w:pPr>
      <w:r>
        <w:rPr>
          <w:b/>
          <w:bCs/>
        </w:rPr>
        <w:t xml:space="preserve">Table 1: </w:t>
      </w:r>
      <w:r>
        <w:t xml:space="preserve">Viral content ranked by TVI. Formula correctly places foundations above ephemera.</w:t>
      </w:r>
    </w:p>
    <w:p>
      <w:pPr>
        <w:pStyle w:val="Heading2"/>
      </w:pPr>
      <w:r>
        <w:t xml:space="preserve">4.2 Business Methodology Rankings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4500"/>
      </w:tblGrid>
      <w:tr>
        <w:tc>
          <w:tcPr>
            <w:tcW w:type="dxa" w:w="3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Methodology</w:t>
            </w:r>
          </w:p>
        </w:tc>
        <w:tc>
          <w:tcPr>
            <w:tcW w:type="dxa" w:w="1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TVI-B</w:t>
            </w:r>
          </w:p>
        </w:tc>
        <w:tc>
          <w:tcPr>
            <w:tcW w:type="dxa" w:w="4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Known Outcome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SMART Goals (1981)</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1,031</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Universal standard - taught everywhere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Agile/Scrum (2001)</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316</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Foundation - industry standard in tech</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Six Sigma (1986)</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224</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Established - still used in manufacturing</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OKRs (1999/2013)</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29</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Growing - adopted by tech companies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Holacracy (2015)</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0.17</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Niche - failed to gain traction</w:t>
            </w:r>
          </w:p>
        </w:tc>
      </w:tr>
    </w:tbl>
    <w:p>
      <w:pPr>
        <w:spacing w:before="240" w:after="240" w:line="360"/>
      </w:pPr>
      <w:r>
        <w:rPr>
          <w:b/>
          <w:bCs/>
        </w:rPr>
        <w:t xml:space="preserve">Table 2: </w:t>
      </w:r>
      <w:r>
        <w:t xml:space="preserve">Business methodologies ranked by TVI-B.</w:t>
      </w:r>
    </w:p>
    <w:p>
      <w:pPr>
        <w:pStyle w:val="Heading2"/>
      </w:pPr>
      <w:r>
        <w:t xml:space="preserve">4.3 AI Dataset Rankings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4000"/>
      </w:tblGrid>
      <w:tr>
        <w:tc>
          <w:tcPr>
            <w:tcW w:type="dxa" w:w="3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Dataset</w:t>
            </w:r>
          </w:p>
        </w:tc>
        <w:tc>
          <w:tcPr>
            <w:tcW w:type="dxa" w:w="1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TDIS</w:t>
            </w:r>
          </w:p>
        </w:tc>
        <w:tc>
          <w:tcPr>
            <w:tcW w:type="dxa" w:w="4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Known Outcome</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MNIST (1998)</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40.21</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Pedagogical standard - 26 years</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ImageNet (2009)</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7.97</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Foundation - enabled deep learning</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CIFAR-10 (2009)</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3.19</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Standard benchmark</w:t>
            </w:r>
          </w:p>
        </w:tc>
      </w:tr>
      <w:tr>
        <w:tc>
          <w:tcPr>
            <w:tcW w:type="dxa" w:w="3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LAION-5B (2022)</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0.00</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Uncertain - legal issues</w:t>
            </w:r>
          </w:p>
        </w:tc>
      </w:tr>
    </w:tbl>
    <w:p>
      <w:pPr>
        <w:spacing w:before="240" w:after="240" w:line="360"/>
      </w:pPr>
      <w:r>
        <w:rPr>
          <w:b/>
          <w:bCs/>
        </w:rPr>
        <w:t xml:space="preserve">Table 3: </w:t>
      </w:r>
      <w:r>
        <w:t xml:space="preserve">AI training datasets ranked by TDIS.</w:t>
      </w:r>
    </w:p>
    <w:p>
      <w:pPr>
        <w:pStyle w:val="Heading2"/>
      </w:pPr>
      <w:r>
        <w:t xml:space="preserve">4.4 Corporate Survival Rankings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1500"/>
        <w:gridCol w:w="4500"/>
      </w:tblGrid>
      <w:tr>
        <w:tc>
          <w:tcPr>
            <w:tcW w:type="dxa" w:w="3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Company</w:t>
            </w:r>
          </w:p>
        </w:tc>
        <w:tc>
          <w:tcPr>
            <w:tcW w:type="dxa" w:w="1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ISPS</w:t>
            </w:r>
          </w:p>
        </w:tc>
        <w:tc>
          <w:tcPr>
            <w:tcW w:type="dxa" w:w="4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Known Outcome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Apple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7,775</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+57% in 2008, +82% in 2020</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Microsoft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6,783</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Survived all major crises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Amazon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6,774</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Survived dot-com, 2008, COVID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Peloton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82</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-92% from peak in 2022</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Lehman Brothers</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33</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Collapsed 2008 despite 158 years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WeWork</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8</w:t>
            </w:r>
          </w:p>
        </w:tc>
        <w:tc>
          <w:tcPr>
            <w:tcW w:type="dxa" w:w="4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Failed IPO, bankruptcy</w:t>
            </w:r>
          </w:p>
        </w:tc>
      </w:tr>
    </w:tbl>
    <w:p>
      <w:pPr>
        <w:spacing w:before="240" w:after="240" w:line="360"/>
      </w:pPr>
      <w:r>
        <w:rPr>
          <w:b/>
          <w:bCs/>
        </w:rPr>
        <w:t xml:space="preserve">Table 4: </w:t>
      </w:r>
      <w:r>
        <w:t xml:space="preserve">Companies ranked by ISPS.</w:t>
      </w:r>
    </w:p>
    <w:p>
      <w:pPr>
        <w:pStyle w:val="Heading2"/>
      </w:pPr>
      <w:r>
        <w:t xml:space="preserve">4.5 Summary Statistics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000"/>
        <w:gridCol w:w="4000"/>
        <w:gridCol w:w="2000"/>
      </w:tblGrid>
      <w:tr>
        <w:tc>
          <w:tcPr>
            <w:tcW w:type="dxa" w:w="3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Domain</w:t>
            </w:r>
          </w:p>
        </w:tc>
        <w:tc>
          <w:tcPr>
            <w:tcW w:type="dxa" w:w="4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Expected Ranking</w:t>
            </w:r>
          </w:p>
        </w:tc>
        <w:tc>
          <w:tcPr>
            <w:tcW w:type="dxa" w:w="2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Validated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Viral Content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Charlie &gt; Gangnam &gt; TikTok</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Methodologies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SMART &gt; Agile &gt; Holacracy</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AI Datasets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MNIST &gt; ImageNet &gt; LAION</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Companies</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Apple &gt; Microsoft &gt; WeWork</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Yes</w:t>
            </w:r>
          </w:p>
        </w:tc>
      </w:tr>
    </w:tbl>
    <w:p>
      <w:pPr>
        <w:spacing w:before="240" w:after="240" w:line="360"/>
      </w:pPr>
      <w:r>
        <w:rPr>
          <w:b/>
          <w:bCs/>
        </w:rPr>
        <w:t xml:space="preserve">Table 5: </w:t>
      </w:r>
      <w:r>
        <w:t xml:space="preserve">Summary of validation results. Formula achieved 100% directional accuracy across all four domains.</w:t>
      </w:r>
    </w:p>
    <w:p>
      <w:pPr>
        <w:pStyle w:val="Heading2"/>
      </w:pPr>
      <w:r>
        <w:t xml:space="preserve">4.6 Sensitivity Analysis</w:t>
      </w:r>
    </w:p>
    <w:p>
      <w:pPr>
        <w:spacing w:after="240" w:line="360"/>
      </w:pPr>
      <w:r>
        <w:t xml:space="preserve">To test robustness, we varied all parameters by ±20% (125 combinations) for the MNIST vs. LAION comparison. Result: MNIST ranked higher than LAION in 100% of variations. The formula's ranking is robust to substantial parameter uncertainty.</w:t>
      </w:r>
    </w:p>
    <w:p>
      <w:r>
        <w:br w:type="page"/>
      </w:r>
    </w:p>
    <w:p>
      <w:pPr>
        <w:pStyle w:val="Heading1"/>
      </w:pPr>
      <w:r>
        <w:t xml:space="preserve">5. Discussion</w:t>
      </w:r>
    </w:p>
    <w:p>
      <w:pPr>
        <w:pStyle w:val="Heading2"/>
      </w:pPr>
      <w:r>
        <w:t xml:space="preserve">5.1 What the Framework Captures</w:t>
      </w:r>
    </w:p>
    <w:p>
      <w:pPr>
        <w:spacing w:after="240" w:line="360"/>
      </w:pPr>
      <w:r>
        <w:t xml:space="preserve">The TVI framework appears to capture something real about temporal persistence. The fact that a single formula structure correctly ranks entities across such disparate domains (viral videos, business practices, technical datasets, corporations) suggests the components identify genuine drivers of durability.</w:t>
      </w:r>
    </w:p>
    <w:p>
      <w:pPr>
        <w:spacing w:after="240" w:line="360"/>
      </w:pPr>
      <w:r>
        <w:t xml:space="preserve">The key insight is that time itself performs a validation function. Ideas that persist through changing contexts, survive competitive pressure, and continue to attract attention demonstrate a form of fitness that immediate metrics cannot detect.</w:t>
      </w:r>
    </w:p>
    <w:p>
      <w:pPr>
        <w:pStyle w:val="Heading2"/>
      </w:pPr>
      <w:r>
        <w:t xml:space="preserve">5.2 The Observer Problem</w:t>
      </w:r>
    </w:p>
    <w:p>
      <w:pPr>
        <w:spacing w:after="240" w:line="360"/>
      </w:pPr>
      <w:r>
        <w:t xml:space="preserve">The Observer Temporal Signature model explains a phenomenon often attributed to values or intelligence: why smart, informed people systematically disagree about what matters. A venture capitalist with a 7-year fund cycle and a university endowment manager with a perpetual horizon will evaluate identical opportunities differently not because they value different things, but because their temporal filters make different aspects of reality visible.</w:t>
      </w:r>
    </w:p>
    <w:p>
      <w:pPr>
        <w:pStyle w:val="Heading2"/>
      </w:pPr>
      <w:r>
        <w:t xml:space="preserve">5.3 Limitations</w:t>
      </w:r>
    </w:p>
    <w:p>
      <w:pPr>
        <w:spacing w:after="240" w:line="360"/>
      </w:pPr>
      <w:r>
        <w:t xml:space="preserve">Several limitations warrant acknowledgment. First, validation against known outcomes is not the same as prospective prediction. Second, parameter estimation introduces subjectivity. Third, the Structural Resistance Coefficient is based on theoretical considerations rather than empirical calibration.</w:t>
      </w:r>
    </w:p>
    <w:p>
      <w:pPr>
        <w:pStyle w:val="Heading2"/>
      </w:pPr>
      <w:r>
        <w:t xml:space="preserve">5.4 Applications</w:t>
      </w:r>
    </w:p>
    <w:p>
      <w:pPr>
        <w:spacing w:after="120" w:line="360"/>
      </w:pPr>
      <w:r>
        <w:rPr>
          <w:b/>
          <w:bCs/>
        </w:rPr>
        <w:t xml:space="preserve">Investment Analysis: </w:t>
      </w:r>
      <w:r>
        <w:t xml:space="preserve">ISPS could complement traditional valuation metrics by quantifying staying power.</w:t>
      </w:r>
    </w:p>
    <w:p>
      <w:pPr>
        <w:spacing w:after="120" w:line="360"/>
      </w:pPr>
      <w:r>
        <w:rPr>
          <w:b/>
          <w:bCs/>
        </w:rPr>
        <w:t xml:space="preserve">AI Training Data Curation: </w:t>
      </w:r>
      <w:r>
        <w:t xml:space="preserve">TDIS could guide dataset selection toward temporally validated sources.</w:t>
      </w:r>
    </w:p>
    <w:p>
      <w:pPr>
        <w:spacing w:after="120" w:line="360"/>
      </w:pPr>
      <w:r>
        <w:rPr>
          <w:b/>
          <w:bCs/>
        </w:rPr>
        <w:t xml:space="preserve">Content Strategy: </w:t>
      </w:r>
      <w:r>
        <w:t xml:space="preserve">Organizations optimizing for long-term brand building could use TVI to evaluate content durability.</w:t>
      </w:r>
    </w:p>
    <w:p>
      <w:pPr>
        <w:spacing w:after="240" w:line="360"/>
      </w:pPr>
      <w:r>
        <w:rPr>
          <w:b/>
          <w:bCs/>
        </w:rPr>
        <w:t xml:space="preserve">Institutional Decision-Making: </w:t>
      </w:r>
      <w:r>
        <w:t xml:space="preserve">The Observer model could help organizations recognize when short-horizon decision-makers are systematically undervaluing long-horizon opportunities.</w:t>
      </w:r>
    </w:p>
    <w:p>
      <w:r>
        <w:br w:type="page"/>
      </w:r>
    </w:p>
    <w:p>
      <w:pPr>
        <w:pStyle w:val="Heading1"/>
      </w:pPr>
      <w:r>
        <w:t xml:space="preserve">6. Future Work and Testable Predictions</w:t>
      </w:r>
    </w:p>
    <w:p>
      <w:pPr>
        <w:pStyle w:val="Heading2"/>
      </w:pPr>
      <w:r>
        <w:t xml:space="preserve">6.1 Temporal Uncertainty Principle</w:t>
      </w:r>
    </w:p>
    <w:p>
      <w:pPr>
        <w:spacing w:after="240" w:line="360"/>
      </w:pPr>
      <w:r>
        <w:t xml:space="preserve">We hypothesize a fundamental tradeoff between timing precision and impact predictability:</w:t>
      </w:r>
    </w:p>
    <w:p>
      <w:pPr>
        <w:spacing w:before="240" w:after="240"/>
        <w:jc w:val="center"/>
      </w:pPr>
      <w:r>
        <w:rPr>
          <w:i/>
          <w:iCs/>
          <w:sz w:val="26"/>
          <w:szCs w:val="26"/>
        </w:rPr>
        <w:t xml:space="preserve">ΔT × ΔI ≥ k</w:t>
      </w:r>
    </w:p>
    <w:p>
      <w:pPr>
        <w:spacing w:after="240" w:line="360"/>
      </w:pPr>
      <w:r>
        <w:t xml:space="preserve">Where ΔT is uncertainty in when something will peak, and ΔI is uncertainty in how much impact it will have. Viral content has low ΔT (precise timing) but high ΔI (unpredictable longevity). Foundational work has low ΔI (predictable importance) but high ΔT (unpredictable emergence timing).</w:t>
      </w:r>
    </w:p>
    <w:p>
      <w:pPr>
        <w:pStyle w:val="Heading2"/>
      </w:pPr>
      <w:r>
        <w:t xml:space="preserve">6.2 Fractal Scaling Hypothesis</w:t>
      </w:r>
    </w:p>
    <w:p>
      <w:pPr>
        <w:spacing w:after="240" w:line="360"/>
      </w:pPr>
      <w:r>
        <w:t xml:space="preserve">Preliminary analysis suggests cultural attention may follow fractal scaling laws. If the Hurst exponent H ≈ 0.7 and fractal dimension D ≈ 1.3 are constant across domains, this would indicate universal statistical mechanics in cultural evolution.</w:t>
      </w:r>
    </w:p>
    <w:p>
      <w:pPr>
        <w:pStyle w:val="Heading2"/>
      </w:pPr>
      <w:r>
        <w:t xml:space="preserve">6.3 Prospective Prediction Study</w:t>
      </w:r>
    </w:p>
    <w:p>
      <w:pPr>
        <w:spacing w:after="240" w:line="360"/>
      </w:pPr>
      <w:r>
        <w:t xml:space="preserve">The strongest test would be prospective prediction: rank a set of novel entities by TVI today, then measure persistence at 1, 5, and 10 year intervals. We propose a registered study tracking 100 entities across domains.</w:t>
      </w:r>
    </w:p>
    <w:p>
      <w:pPr>
        <w:pStyle w:val="Heading2"/>
      </w:pPr>
      <w:r>
        <w:t xml:space="preserve">6.4 Observer Calibration Experiments</w:t>
      </w:r>
    </w:p>
    <w:p>
      <w:pPr>
        <w:spacing w:after="240" w:line="360"/>
      </w:pPr>
      <w:r>
        <w:t xml:space="preserve">The Observer model makes testable predictions. Observers with different τ profiles should make systematically different forecasts. Hypothesis: high-V observers outperform on long-horizon outcomes; low-V observers outperform on short-horizon outcomes.</w:t>
      </w:r>
    </w:p>
    <w:p>
      <w:pPr>
        <w:pStyle w:val="Heading2"/>
      </w:pPr>
      <w:r>
        <w:t xml:space="preserve">6.5 Speculative Extensions Under Investigation</w:t>
      </w:r>
    </w:p>
    <w:p>
      <w:pPr>
        <w:spacing w:after="240" w:line="360"/>
      </w:pPr>
      <w:r>
        <w:t xml:space="preserve">Several more speculative extensions are currently under investigation. While these require substantial additional validation, they suggest potentially fruitful research directions:</w:t>
      </w:r>
    </w:p>
    <w:p>
      <w:pPr>
        <w:pStyle w:val="Heading3"/>
      </w:pPr>
      <w:r>
        <w:t xml:space="preserve">6.5.1 Temporal Fractal Dimension as Classification System</w:t>
      </w:r>
    </w:p>
    <w:p>
      <w:pPr>
        <w:spacing w:after="240" w:line="360"/>
      </w:pPr>
      <w:r>
        <w:t xml:space="preserve">Box-counting analysis of reference timestamps may reveal characteristic fractal dimensions for different persistence tiers. Preliminary observations suggest: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00"/>
      </w:tblGrid>
      <w:tr>
        <w:tc>
          <w:tcPr>
            <w:tcW w:type="dxa" w:w="40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Category</w:t>
            </w:r>
          </w:p>
        </w:tc>
        <w:tc>
          <w:tcPr>
            <w:tcW w:type="dxa" w:w="2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TFD Range</w:t>
            </w:r>
          </w:p>
        </w:tc>
        <w:tc>
          <w:tcPr>
            <w:tcW w:type="dxa" w:w="2500"/>
            <w:tcBorders>
              <w:top w:val="single" w:color="CCCCCC" w:sz="1"/>
              <w:left w:val="single" w:color="CCCCCC" w:sz="1"/>
              <w:bottom w:val="single" w:color="CCCCCC" w:sz="1"/>
              <w:right w:val="single" w:color="CCCCCC" w:sz="1"/>
            </w:tcBorders>
            <w:shd w:fill="E8E8E8" w:val="clear"/>
            <w:tcMar>
              <w:top w:type="dxa" w:w="80"/>
              <w:left w:type="dxa" w:w="120"/>
              <w:bottom w:type="dxa" w:w="80"/>
              <w:right w:type="dxa" w:w="120"/>
            </w:tcMar>
          </w:tcPr>
          <w:p>
            <w:r>
              <w:rPr>
                <w:b/>
                <w:bCs/>
              </w:rPr>
              <w:t xml:space="preserve">Pattern</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Ephemeral content</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1.0</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Linear decay</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Cultural milestones</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1.26-1.38</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Persistent with noise</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Foundational works</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1.5-1.8</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Self-similar across scales</w:t>
            </w:r>
          </w:p>
        </w:tc>
      </w:tr>
      <w:tr>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Canonical texts</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 1.89-1.92</w:t>
            </w:r>
          </w:p>
        </w:tc>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Near-Brownian motion</w:t>
            </w:r>
          </w:p>
        </w:tc>
      </w:tr>
    </w:tbl>
    <w:p>
      <w:pPr>
        <w:spacing w:before="240" w:after="240" w:line="360"/>
      </w:pPr>
      <w:r>
        <w:rPr>
          <w:b/>
          <w:bCs/>
        </w:rPr>
        <w:t xml:space="preserve">Table 6: </w:t>
      </w:r>
      <w:r>
        <w:t xml:space="preserve">Hypothesized Temporal Fractal Dimension ranges by persistence tier.</w:t>
      </w:r>
    </w:p>
    <w:p>
      <w:pPr>
        <w:spacing w:after="240" w:line="360"/>
      </w:pPr>
      <w:r>
        <w:t xml:space="preserve">If validated, TFD could provide an alternative classification method independent of the core TVI formula, potentially serving as a cross-validation tool.</w:t>
      </w:r>
    </w:p>
    <w:p>
      <w:pPr>
        <w:pStyle w:val="Heading3"/>
      </w:pPr>
      <w:r>
        <w:t xml:space="preserve">6.5.2 Lyapunov Predictability Horizons</w:t>
      </w:r>
    </w:p>
    <w:p>
      <w:pPr>
        <w:spacing w:after="240" w:line="360"/>
      </w:pPr>
      <w:r>
        <w:t xml:space="preserve">Chaotic systems have characteristic prediction horizons determined by their Lyapunov exponent λ_L. Applied to cultural attention dynamics:</w:t>
      </w:r>
    </w:p>
    <w:p>
      <w:pPr>
        <w:spacing w:before="240" w:after="240"/>
        <w:jc w:val="center"/>
      </w:pPr>
      <w:r>
        <w:rPr>
          <w:i/>
          <w:iCs/>
          <w:sz w:val="26"/>
          <w:szCs w:val="26"/>
        </w:rPr>
        <w:t xml:space="preserve">t_horizon ≈ (1/λ_L) × ln(1/ε)</w:t>
      </w:r>
    </w:p>
    <w:p>
      <w:pPr>
        <w:spacing w:after="240" w:line="360"/>
      </w:pPr>
      <w:r>
        <w:t xml:space="preserve">Where ε is the acceptable prediction error. Preliminary estimates suggest memes have λ_L ≈ 0.8-1.2 days⁻¹ (highly chaotic, prediction horizon ~3-5 days), while scientific papers have λ_L ≈ 0.02-0.05 years⁻¹ (stable, prediction horizon ~20-50 years). This could explain why viral content is fundamentally unpredictable while foundational work shows stable trajectories.</w:t>
      </w:r>
    </w:p>
    <w:p>
      <w:pPr>
        <w:pStyle w:val="Heading3"/>
      </w:pPr>
      <w:r>
        <w:t xml:space="preserve">6.5.3 Relevance Attractor Fixed Points</w:t>
      </w:r>
    </w:p>
    <w:p>
      <w:pPr>
        <w:spacing w:after="240" w:line="360"/>
      </w:pPr>
      <w:r>
        <w:t xml:space="preserve">Analysis of cultural coupling constants (measuring ubiquity of reference) suggests possible fixed-point attractors in relevance space:</w:t>
      </w:r>
    </w:p>
    <w:p>
      <w:pPr>
        <w:spacing w:after="120" w:line="360"/>
      </w:pPr>
      <w:r>
        <w:rPr>
          <w:b/>
          <w:bCs/>
        </w:rPr>
        <w:t xml:space="preserve">g* ≈ 0: </w:t>
      </w:r>
      <w:r>
        <w:t xml:space="preserve">Total irrelevance (UV fixed point) - everything eventually forgotten</w:t>
      </w:r>
    </w:p>
    <w:p>
      <w:pPr>
        <w:spacing w:after="120" w:line="360"/>
      </w:pPr>
      <w:r>
        <w:rPr>
          <w:b/>
          <w:bCs/>
        </w:rPr>
        <w:t xml:space="preserve">g* ≈ 0.73: </w:t>
      </w:r>
      <w:r>
        <w:t xml:space="preserve">Niche classic (stable equilibrium) - persistent within domain</w:t>
      </w:r>
    </w:p>
    <w:p>
      <w:pPr>
        <w:spacing w:after="240" w:line="360"/>
      </w:pPr>
      <w:r>
        <w:rPr>
          <w:b/>
          <w:bCs/>
        </w:rPr>
        <w:t xml:space="preserve">g* ≈ 1.0: </w:t>
      </w:r>
      <w:r>
        <w:t xml:space="preserve">Universal reference (IR fixed point) - canonical across domains</w:t>
      </w:r>
    </w:p>
    <w:p>
      <w:pPr>
        <w:spacing w:after="240" w:line="360"/>
      </w:pPr>
      <w:r>
        <w:t xml:space="preserve">If these fixed points exist, the dynamics between them could explain phase transitions in cultural relevance - why some content suddenly shifts from niche to universal or from relevant to forgotten.</w:t>
      </w:r>
    </w:p>
    <w:p>
      <w:pPr>
        <w:pStyle w:val="Heading1"/>
      </w:pPr>
      <w:r>
        <w:t xml:space="preserve">7. Conclusion</w:t>
      </w:r>
    </w:p>
    <w:p>
      <w:pPr>
        <w:spacing w:after="240" w:line="360"/>
      </w:pPr>
      <w:r>
        <w:t xml:space="preserve">The Temporal Validation Impact framework provides a quantitative methodology for measuring cultural persistence. Validation against known historical outcomes across four domains demonstrates that the formula captures something real about temporal durability. The Observer model offers a principled explanation for systematic disagreement in importance judgments.</w:t>
      </w:r>
    </w:p>
    <w:p>
      <w:pPr>
        <w:spacing w:after="240" w:line="360"/>
      </w:pPr>
      <w:r>
        <w:t xml:space="preserve">If the framework's core insight is correct, current metrics systematically undervalue durability and overvalue recency. Organizations, investors, and institutions that develop the capacity to perceive and act on long-horizon value may achieve structural advantages invisible to short-horizon competitors.</w:t>
      </w:r>
    </w:p>
    <w:p>
      <w:pPr>
        <w:spacing w:after="240" w:line="360"/>
      </w:pPr>
      <w:r>
        <w:t xml:space="preserve">Future work should focus on prospective prediction testing, empirical calibration of framework parameters, and investigation of potential universal scaling laws in cultural attention dynamics.</w:t>
      </w:r>
    </w:p>
    <w:p>
      <w:r>
        <w:br w:type="page"/>
      </w:r>
    </w:p>
    <w:p>
      <w:pPr>
        <w:pStyle w:val="Heading1"/>
      </w:pPr>
      <w:r>
        <w:t xml:space="preserve">References</w:t>
      </w:r>
    </w:p>
    <w:p>
      <w:pPr>
        <w:spacing w:after="120" w:line="360"/>
      </w:pPr>
      <w:r>
        <w:t xml:space="preserve">Clauset, A., Shalizi, C. R., &amp; Newman, M. E. (2009). Power-law distributions in empirical data. SIAM Review, 51(4), 661-703.</w:t>
      </w:r>
    </w:p>
    <w:p>
      <w:pPr>
        <w:spacing w:after="120" w:line="360"/>
      </w:pPr>
      <w:r>
        <w:t xml:space="preserve">Doran, G. T. (1981). There's a SMART way to write management's goals and objectives. Management Review, 70(11), 35-36.</w:t>
      </w:r>
    </w:p>
    <w:p>
      <w:pPr>
        <w:spacing w:after="120" w:line="360"/>
      </w:pPr>
      <w:r>
        <w:t xml:space="preserve">LeCun, Y., Bottou, L., Bengio, Y., &amp; Haffner, P. (1998). Gradient-based learning applied to document recognition. Proceedings of the IEEE, 86(11), 2278-2324.</w:t>
      </w:r>
    </w:p>
    <w:p>
      <w:pPr>
        <w:spacing w:after="120" w:line="360"/>
      </w:pPr>
      <w:r>
        <w:t xml:space="preserve">Mandelbrot, B. B. (1982). The Fractal Geometry of Nature. W.H. Freeman and Company.</w:t>
      </w:r>
    </w:p>
    <w:p>
      <w:pPr>
        <w:spacing w:after="120" w:line="360"/>
      </w:pPr>
      <w:r>
        <w:t xml:space="preserve">Russakovsky, O., et al. (2015). ImageNet Large Scale Visual Recognition Challenge. International Journal of Computer Vision, 115(3), 211-252.</w:t>
      </w:r>
    </w:p>
    <w:p>
      <w:pPr>
        <w:spacing w:after="120" w:line="360"/>
      </w:pPr>
      <w:r>
        <w:t xml:space="preserve">Strogatz, S. H. (2015). Nonlinear Dynamics and Chaos. Westview Press.</w:t>
      </w:r>
    </w:p>
    <w:p>
      <w:pPr>
        <w:spacing w:after="120" w:line="360"/>
      </w:pPr>
      <w:r>
        <w:t xml:space="preserve">Taleb, N. N. (2012). Antifragile: Things That Gain from Disorder. Random House.</w:t>
      </w:r>
    </w:p>
    <w:p>
      <w:r>
        <w:br w:type="page"/>
      </w:r>
    </w:p>
    <w:p>
      <w:pPr>
        <w:pStyle w:val="Heading1"/>
      </w:pPr>
      <w:r>
        <w:t xml:space="preserve">Appendix A: Metaphorical Interpretation Layer</w:t>
      </w:r>
    </w:p>
    <w:p>
      <w:pPr>
        <w:spacing w:after="240" w:line="360"/>
      </w:pPr>
      <w:r>
        <w:rPr>
          <w:i/>
          <w:iCs/>
        </w:rPr>
        <w:t xml:space="preserve">Note: The following is explicitly non-literal. It describes the phenomenology of temporal awareness and may be useful for intuition-building but should not be interpreted as scientific claims.</w:t>
      </w:r>
    </w:p>
    <w:p>
      <w:pPr>
        <w:spacing w:after="240" w:line="360"/>
      </w:pPr>
      <w:r>
        <w:t xml:space="preserve">The TVI framework can be interpreted through a spatial metaphor: ideas, organizations, and artifacts exist in a 'temporal field' where position corresponds to validation state and movement corresponds to persistence dynamics. In this metaphor, foundations are high-mass objects that resist perturbation; ephemera are low-mass particles easily displaced by attention currents.</w:t>
      </w:r>
    </w:p>
    <w:p>
      <w:pPr>
        <w:spacing w:after="240" w:line="360"/>
      </w:pPr>
      <w:r>
        <w:t xml:space="preserve">From inside this metaphor, observers with different τ signatures perceive different realities. A short-horizon observer sees a flat landscape of roughly equivalent opportunities. A long-horizon observer perceives a mountainous terrain where foundations tower and ephemera barely register.</w:t>
      </w:r>
    </w:p>
    <w:p>
      <w:pPr>
        <w:spacing w:after="240" w:line="360"/>
      </w:pPr>
      <w:r>
        <w:t xml:space="preserve">The +1 in log₁₀(V+1) can be interpreted as the observer's own existence: you cannot measure from zero because zero would mean you are not present to measure. The minimum temporal mass is 1, representing 'I exist to ask this question.'</w:t>
      </w:r>
    </w:p>
    <w:p>
      <w:r>
        <w:br w:type="page"/>
      </w:r>
    </w:p>
    <w:p>
      <w:pPr>
        <w:pStyle w:val="Heading1"/>
      </w:pPr>
      <w:r>
        <w:t xml:space="preserve">Appendix B: Quantum-Adjacent Formalisms</w:t>
      </w:r>
    </w:p>
    <w:p>
      <w:pPr>
        <w:spacing w:after="240" w:line="360"/>
      </w:pPr>
      <w:r>
        <w:rPr>
          <w:i/>
          <w:iCs/>
        </w:rPr>
        <w:t xml:space="preserve">IMPORTANT DISCLAIMER: The following section uses the notation and language of physics as a creative/generative exercise. These are not literal physical claims. They represent 'mathematical poetry' - borrowing formalism from physics to generate intuitions about cultural dynamics. The equations are suggestive rather than predictive. They should be understood as metaphor, not mechanism.</w:t>
      </w:r>
    </w:p>
    <w:p>
      <w:pPr>
        <w:pStyle w:val="Heading2"/>
      </w:pPr>
      <w:r>
        <w:t xml:space="preserve">B.1 Schrödinger's Meme</w:t>
      </w:r>
    </w:p>
    <w:p>
      <w:pPr>
        <w:spacing w:after="240" w:line="360"/>
      </w:pPr>
      <w:r>
        <w:t xml:space="preserve">Consider cultural artifacts as existing in superposition between 'dead' and 'alive' states until measured by cultural consciousness. The act of reference collapses the wavefunction. Prior to measurement, an artifact exists in a probability cloud of potential futures - it might become canonical, it might be forgotten, it might undergo ironic revival.</w:t>
      </w:r>
    </w:p>
    <w:p>
      <w:pPr>
        <w:spacing w:after="240" w:line="360"/>
      </w:pPr>
      <w:r>
        <w:t xml:space="preserve">This framing explains why prediction is fundamentally difficult: we cannot know the state without collapsing it through the act of measurement (attention).</w:t>
      </w:r>
    </w:p>
    <w:p>
      <w:pPr>
        <w:pStyle w:val="Heading2"/>
      </w:pPr>
      <w:r>
        <w:t xml:space="preserve">B.2 The Cultural Planck Constant</w:t>
      </w:r>
    </w:p>
    <w:p>
      <w:pPr>
        <w:spacing w:after="240" w:line="360"/>
      </w:pPr>
      <w:r>
        <w:t xml:space="preserve">If meaning were quantized, what would be the minimum unit? We playfully define </w:t>
      </w:r>
      <w:r>
        <w:rPr>
          <w:i/>
          <w:iCs/>
        </w:rPr>
        <w:t xml:space="preserve">ħ_c ≈ 15 minutes of attention</w:t>
      </w:r>
      <w:r>
        <w:t xml:space="preserve"> - approximately the minimum duration for a cultural 'quantum' to register. This is not physics; it is a way of thinking about granularity in cultural transmission.</w:t>
      </w:r>
    </w:p>
    <w:p>
      <w:pPr>
        <w:spacing w:after="240" w:line="360"/>
      </w:pPr>
      <w:r>
        <w:t xml:space="preserve">Related thought experiment: Can you transmit 'half a joke'? The answer is no - meaning appears to come in discrete units, even if we cannot precisely define those units.</w:t>
      </w:r>
    </w:p>
    <w:p>
      <w:pPr>
        <w:pStyle w:val="Heading2"/>
      </w:pPr>
      <w:r>
        <w:t xml:space="preserve">B.3 Christoffel Symbols of the Attention Metric</w:t>
      </w:r>
    </w:p>
    <w:p>
      <w:pPr>
        <w:spacing w:after="240" w:line="360"/>
      </w:pPr>
      <w:r>
        <w:t xml:space="preserve">In general relativity, Christoffel symbols describe how coordinate bases change across curved spacetime. Metaphorically, we might imagine 'attention space' as curved by high-relevance objects. The 'Christoffel symbols of attention' would describe how the meaning of concepts shifts as you move through cultural contexts.</w:t>
      </w:r>
    </w:p>
    <w:p>
      <w:pPr>
        <w:spacing w:after="240" w:line="360"/>
      </w:pPr>
      <w:r>
        <w:t xml:space="preserve">This is purely illustrative - there are no actual Christoffel symbols here - but the metaphor captures something real about how context warps interpretation.</w:t>
      </w:r>
    </w:p>
    <w:p>
      <w:pPr>
        <w:pStyle w:val="Heading2"/>
      </w:pPr>
      <w:r>
        <w:t xml:space="preserve">B.4 Bell Inequalities for Cultural Transmission</w:t>
      </w:r>
    </w:p>
    <w:p>
      <w:pPr>
        <w:spacing w:after="240" w:line="360"/>
      </w:pPr>
      <w:r>
        <w:t xml:space="preserve">In quantum mechanics, Bell inequality violations indicate non-classical correlations (entanglement). What would it mean to 'violate Bell inequalities' in cultural transmission? Perhaps: ideas that spread faster than causal contact should allow - via independent rediscovery, parallel invention, convergent evolution. When two researchers in different countries simultaneously develop the same theorem without communication, is this 'cultural entanglement'?</w:t>
      </w:r>
    </w:p>
    <w:p>
      <w:pPr>
        <w:spacing w:after="240" w:line="360"/>
      </w:pPr>
      <w:r>
        <w:t xml:space="preserve">Obviously not in any physical sense. But the pattern is interesting.</w:t>
      </w:r>
    </w:p>
    <w:p>
      <w:pPr>
        <w:pStyle w:val="Heading2"/>
      </w:pPr>
      <w:r>
        <w:t xml:space="preserve">B.5 Observational Evidence (Tongue-in-Cheek)</w:t>
      </w:r>
    </w:p>
    <w:p>
      <w:pPr>
        <w:spacing w:after="240" w:line="360"/>
      </w:pPr>
      <w:r>
        <w:t xml:space="preserve">In the spirit of playful formalism, we offer the following 'observations':</w:t>
      </w:r>
    </w:p>
    <w:p>
      <w:pPr>
        <w:pStyle w:val="ListParagraph"/>
        <w:numPr>
          <w:ilvl w:val="0"/>
          <w:numId w:val="2"/>
        </w:numPr>
        <w:spacing w:after="120" w:line="360"/>
      </w:pPr>
      <w:r>
        <w:rPr>
          <w:i/>
          <w:iCs/>
        </w:rPr>
        <w:t xml:space="preserve">Shakespeare references show Bose-Einstein condensation in cultural space </w:t>
      </w:r>
      <w:r>
        <w:t xml:space="preserve">- many citations clustering around the same ground state</w:t>
      </w:r>
    </w:p>
    <w:p>
      <w:pPr>
        <w:pStyle w:val="ListParagraph"/>
        <w:numPr>
          <w:ilvl w:val="0"/>
          <w:numId w:val="2"/>
        </w:numPr>
        <w:spacing w:after="120" w:line="360"/>
      </w:pPr>
      <w:r>
        <w:rPr>
          <w:i/>
          <w:iCs/>
        </w:rPr>
        <w:t xml:space="preserve">The disco revival demonstrates temporal Anderson localization </w:t>
      </w:r>
      <w:r>
        <w:t xml:space="preserve">- a genre that should have diffused into irrelevance instead remained localized and re-emerged</w:t>
      </w:r>
    </w:p>
    <w:p>
      <w:pPr>
        <w:pStyle w:val="ListParagraph"/>
        <w:numPr>
          <w:ilvl w:val="0"/>
          <w:numId w:val="2"/>
        </w:numPr>
        <w:spacing w:after="120" w:line="360"/>
      </w:pPr>
      <w:r>
        <w:rPr>
          <w:i/>
          <w:iCs/>
        </w:rPr>
        <w:t xml:space="preserve">Greek philosophy exhibits topological protection against forgetting </w:t>
      </w:r>
      <w:r>
        <w:t xml:space="preserve">- its persistence is protected by the structure of Western education, not its inherent properties</w:t>
      </w:r>
    </w:p>
    <w:p>
      <w:pPr>
        <w:pStyle w:val="ListParagraph"/>
        <w:numPr>
          <w:ilvl w:val="0"/>
          <w:numId w:val="2"/>
        </w:numPr>
        <w:spacing w:after="240" w:line="360"/>
      </w:pPr>
      <w:r>
        <w:rPr>
          <w:i/>
          <w:iCs/>
        </w:rPr>
        <w:t xml:space="preserve">Internet connectivity may be approaching cultural superconductivity </w:t>
      </w:r>
      <w:r>
        <w:t xml:space="preserve">- a phase transition where meaning flows without resistance</w:t>
      </w:r>
    </w:p>
    <w:p>
      <w:pPr>
        <w:spacing w:after="240" w:line="360"/>
      </w:pPr>
      <w:r>
        <w:t xml:space="preserve">These statements are intentionally absurd. They borrow physics terminology to describe cultural phenomena that have no actual physical basis in these mechanisms. But sometimes absurd framings generate real insights.</w:t>
      </w:r>
    </w:p>
    <w:p>
      <w:pPr>
        <w:pStyle w:val="Heading2"/>
      </w:pPr>
      <w:r>
        <w:t xml:space="preserve">B.6 The Path Integral Formulation of Cultural History</w:t>
      </w:r>
    </w:p>
    <w:p>
      <w:pPr>
        <w:spacing w:after="240" w:line="360"/>
      </w:pPr>
      <w:r>
        <w:t xml:space="preserve">In quantum field theory, the path integral sums over all possible histories weighted by their action. What if we imagined cultural evolution this way? Every idea that exists today is the sum over all possible historical trajectories that could have led to it, weighted by some 'cultural action.'</w:t>
      </w:r>
    </w:p>
    <w:p>
      <w:pPr>
        <w:spacing w:after="240" w:line="360"/>
      </w:pPr>
      <w:r>
        <w:t xml:space="preserve">Most histories cancel out. The ones that survive are those where the phases align - where the 'meaning' constructively interferes rather than destructively interfering.</w:t>
      </w:r>
    </w:p>
    <w:p>
      <w:pPr>
        <w:spacing w:after="240" w:line="360"/>
      </w:pPr>
      <w:r>
        <w:t xml:space="preserve">Again, this is metaphor. But it's a productive metaphor.</w:t>
      </w:r>
    </w:p>
    <w:p>
      <w:pPr>
        <w:pStyle w:val="Heading2"/>
      </w:pPr>
      <w:r>
        <w:t xml:space="preserve">B.7 Why Include This Appendix?</w:t>
      </w:r>
    </w:p>
    <w:p>
      <w:pPr>
        <w:spacing w:after="240" w:line="360"/>
      </w:pPr>
      <w:r>
        <w:t xml:space="preserve">Creative frameworks often emerge from playful misapplication of formalism from other domains. The equations in this appendix are not meant to be solved - they are meant to be evocative. They represent one end of a spectrum:</w:t>
      </w:r>
    </w:p>
    <w:p>
      <w:pPr>
        <w:spacing w:after="120" w:line="360"/>
      </w:pPr>
      <w:r>
        <w:rPr>
          <w:b/>
          <w:bCs/>
        </w:rPr>
        <w:t xml:space="preserve">Main Paper: </w:t>
      </w:r>
      <w:r>
        <w:t xml:space="preserve">Testable, falsifiable, grounded in measurable quantities</w:t>
      </w:r>
    </w:p>
    <w:p>
      <w:pPr>
        <w:spacing w:after="120" w:line="360"/>
      </w:pPr>
      <w:r>
        <w:rPr>
          <w:b/>
          <w:bCs/>
        </w:rPr>
        <w:t xml:space="preserve">Appendix A: </w:t>
      </w:r>
      <w:r>
        <w:t xml:space="preserve">Phenomenological interpretation, useful for intuition</w:t>
      </w:r>
    </w:p>
    <w:p>
      <w:pPr>
        <w:spacing w:after="240" w:line="360"/>
      </w:pPr>
      <w:r>
        <w:rPr>
          <w:b/>
          <w:bCs/>
        </w:rPr>
        <w:t xml:space="preserve">Appendix B: </w:t>
      </w:r>
      <w:r>
        <w:t xml:space="preserve">Creative exploration, generative rather than descriptive</w:t>
      </w:r>
    </w:p>
    <w:p>
      <w:pPr>
        <w:spacing w:after="240" w:line="360"/>
      </w:pPr>
      <w:r>
        <w:t xml:space="preserve">All three layers have value. The discipline is knowing which layer you're operating in at any given moment.</w:t>
      </w:r>
    </w:p>
    <w:p>
      <w:pPr>
        <w:spacing w:after="240" w:line="360"/>
      </w:pPr>
      <w:r>
        <w:t xml:space="preserve">The madness was the search. The science is what survives.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sz w:val="20"/>
        <w:szCs w:val="20"/>
      </w:rPr>
      <w:t xml:space="preserve">Temporal Validation Impact Framework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before="300" w:after="180"/>
      <w:outlineLvl w:val="1"/>
    </w:pPr>
    <w:rPr>
      <w:rFonts w:ascii="Times New Roman" w:cs="Times New Roman" w:eastAsia="Times New Roman" w:hAnsi="Times New Roman"/>
      <w:b/>
      <w:bCs/>
      <w:sz w:val="26"/>
      <w:szCs w:val="26"/>
    </w:rPr>
  </w:style>
  <w:style w:type="paragraph" w:styleId="Heading3">
    <w:name w:val="Heading 3"/>
    <w:basedOn w:val="Normal"/>
    <w:next w:val="Normal"/>
    <w:qFormat/>
    <w:pPr>
      <w:spacing w:before="240" w:after="120"/>
      <w:outlineLvl w:val="2"/>
    </w:pPr>
    <w:rPr>
      <w:rFonts w:ascii="Times New Roman" w:cs="Times New Roman" w:eastAsia="Times New Roman" w:hAnsi="Times New Roman"/>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2026-01-15T02:28:20.896Z</dcterms:created>
  <dcterms:modified xsi:type="dcterms:W3CDTF">2026-01-15T02:28:20.897Z</dcterms:modified>
</cp:coreProperties>
</file>

<file path=docProps/custom.xml><?xml version="1.0" encoding="utf-8"?>
<Properties xmlns="http://schemas.openxmlformats.org/officeDocument/2006/custom-properties" xmlns:vt="http://schemas.openxmlformats.org/officeDocument/2006/docPropsVTypes"/>
</file>